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4B" w:rsidRPr="004366CC" w:rsidRDefault="00936C4B" w:rsidP="00503EDB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 xml:space="preserve">حول </w:t>
      </w:r>
      <w:proofErr w:type="spellStart"/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تفسيرسورة</w:t>
      </w:r>
      <w:proofErr w:type="spellEnd"/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 xml:space="preserve"> الإخلاص</w:t>
      </w:r>
      <w:r>
        <w:rPr>
          <w:rFonts w:asciiTheme="majorBidi" w:hAnsiTheme="majorBidi" w:cstheme="majorBidi" w:hint="cs"/>
          <w:sz w:val="36"/>
          <w:szCs w:val="36"/>
          <w:rtl/>
          <w:lang w:bidi="ar-SY"/>
        </w:rPr>
        <w:t xml:space="preserve"> </w:t>
      </w: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والمعوذتين بعدها</w:t>
      </w:r>
    </w:p>
    <w:p w:rsidR="00936C4B" w:rsidRPr="004366CC" w:rsidRDefault="00936C4B" w:rsidP="00503EDB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بقلم</w:t>
      </w:r>
      <w:r>
        <w:rPr>
          <w:rFonts w:asciiTheme="majorBidi" w:hAnsiTheme="majorBidi" w:cstheme="majorBidi" w:hint="cs"/>
          <w:sz w:val="36"/>
          <w:szCs w:val="36"/>
          <w:rtl/>
          <w:lang w:bidi="ar-SY"/>
        </w:rPr>
        <w:t xml:space="preserve"> </w:t>
      </w: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العلامة الكبير والعارف الشهير</w:t>
      </w:r>
    </w:p>
    <w:p w:rsidR="00936C4B" w:rsidRPr="004366CC" w:rsidRDefault="00936C4B" w:rsidP="00503EDB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الإمام المفسر المحدث الشيخ</w:t>
      </w:r>
    </w:p>
    <w:p w:rsidR="00936C4B" w:rsidRPr="00936C4B" w:rsidRDefault="00936C4B" w:rsidP="00503EDB">
      <w:pPr>
        <w:pStyle w:val="a5"/>
        <w:jc w:val="center"/>
        <w:rPr>
          <w:rFonts w:asciiTheme="majorBidi" w:hAnsiTheme="majorBidi" w:cstheme="majorBidi" w:hint="cs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عبد الله سراج الدين</w:t>
      </w:r>
    </w:p>
    <w:tbl>
      <w:tblPr>
        <w:tblStyle w:val="a3"/>
        <w:tblpPr w:leftFromText="180" w:rightFromText="180" w:horzAnchor="margin" w:tblpY="1800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المقدمة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وفيها الحديث عن سورة الإخلاص وبيان أن السورة مكية   و مدنية وسبب نزولها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فضائل سورة الإخلاص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تعدل ثلث القرآن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الإكثار من قراءتها سبب لمحبة الله تعالى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قراءة سورة الإخلاص سبب لدخول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4ـ من قرأها عشر مرات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بنى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الله تعالى له بيتاً في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التحذير من البخل وبيان أن البخيل لا يدخل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الترغيب بالخلق الحسن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 بعض الآداب عند قراءة القرآن الكريم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الترغيب بدعاء الوسيلة رغبة بشفاعة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سبب لمغفرة الذنوب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6ـ تنفي الفقر عن تاليها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7ـ الإكثار من قراءتها سبب لصلاة الملائكة على قارئها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8ـ الترغيب بقراءتها وراء كل صلاة مكتوبة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9ـ من قرأها مائة ألف مرة فهو عتيق الله تعالى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ما ينفع الوالدين بعد وفاتهما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الترغيب بقراءة سورة تبارك كل يوم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فضائل تلاوة الإخلاص مع المعوذتين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قراءة المعوذات وراء الصلوات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2ـ قراءة المعوذات بعد صلاة الجمعة سبعاً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سبعاً</w:t>
            </w:r>
            <w:proofErr w:type="spellEnd"/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قراءة المعوذات صباحاً ومساء تحفظ من كل شيء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قراءة المعوذات عند النوم فيها الوقاية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المعوذات ما تعوذ الخلائق بمثلها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تفسير سورة الإخلاص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1ـ بيان سبب نزول سورة الإخلاص وأين نزلت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2ـ تفسير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قل هو الله أحد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هذه الآية فيها تجريد التوحيد لله تعالى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أدنى وأكرم أهل الجنة منزلة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3ـ الكلام على اسم الجلالة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الله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بيان أن اسم الجلالة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الله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أجمع الأسماء الإلهية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>ذكر دعاء نافع لذهاب الهم والحزن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أن أسماء الله تعالى كلها حسنى ومالها نهاية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معنى حديث: "أن لله تسعة وتسعين اسماً"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4ـ ذكر بعض خصائص لفظ الجلالة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الله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أ ـ هذا الاسم جامع لجميع الأسماء الإلهية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 ـ هذا الاسم هو المتبوع وغيره تبع له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ج ـ هذا الاسم تعلقت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جميع العوالم بذاتها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وذراتها</w:t>
            </w:r>
            <w:proofErr w:type="spellEnd"/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وأنواعها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د ـ من خصائص هذا الاسم أنك إذا أدخلت عليه ياء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النداء تبقى الألف ثابتة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هـ ـ  من خصائصه ملازمة الألف واللام له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 ـ من خصائصه أنه قد تحذف ياء النداء من أوله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ويعوض عنها الميم في آخره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31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ز ـ ومن خصائصه أنه حيث تصرّفت حروفه دلت على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الله تعالى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ح ـ ومن أكثر من تكراره فرج الله كربه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5ـ في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قل هو الله أحد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إرشاد إلى البرهان العقلي الدال على إثبات وجود الله تعالى وفيه  بحث نفيس على أن الله واحد لا شريك له سبحانه وتعالى وبيان ذلك بشكل مفصل وواضح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التفسير الواضح لقوله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لو كان فيهما آلهة إلا الله لفسدتا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3"/>
              </w:numPr>
              <w:jc w:val="left"/>
              <w:rPr>
                <w:rFonts w:asciiTheme="majorBidi" w:hAnsiTheme="majorBidi" w:cstheme="majorBidi"/>
                <w:sz w:val="32"/>
                <w:szCs w:val="32"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البيان اللغوي  للفظ: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أحد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الله الصمد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الكلام على هذه الآية له وجوه: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الوجه الأول: في بيان معنى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الصمد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معنى السيد بالنسبة لله تعالى ـ بشكل مفصل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فضل الله تعالى سيدنا محمداً فجعله سيد ولد آدم ـ أدلة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بيان اليوم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الشأني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الوارد في قوله  سبحانه: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كل يوم هو في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شأن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 قصة ابن الشجري مع الخضر عليه السلام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الوجه الثاني: في قوله سبحانه: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الله الصمد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 برهان مشهود على وجوب وجود واجب الوجود ووحدانيته ـ بيان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6"/>
              </w:numPr>
              <w:ind w:firstLine="498"/>
              <w:jc w:val="left"/>
              <w:rPr>
                <w:rFonts w:asciiTheme="majorBidi" w:hAnsiTheme="majorBidi" w:cstheme="majorBidi"/>
                <w:sz w:val="32"/>
                <w:szCs w:val="32"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 الحديث القدسي الذي رواه سيدنا أبو ذر</w:t>
            </w:r>
          </w:p>
          <w:p w:rsidR="00BD63D1" w:rsidRPr="00BD63D1" w:rsidRDefault="00BD63D1" w:rsidP="008A4EC3">
            <w:pPr>
              <w:pStyle w:val="a4"/>
              <w:ind w:left="1558" w:firstLine="0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>الغفاري رضي الله عنه "يا عبادي إني حرمت</w:t>
            </w:r>
          </w:p>
          <w:p w:rsidR="00BD63D1" w:rsidRPr="00BD63D1" w:rsidRDefault="00BD63D1" w:rsidP="008A4EC3">
            <w:pPr>
              <w:pStyle w:val="a4"/>
              <w:ind w:left="1558" w:firstLine="0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الظلم على نفسي"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>52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6"/>
              </w:numPr>
              <w:ind w:firstLine="498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>و "يا عبادي كلكم ضال إلا من هديته"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6"/>
              </w:numPr>
              <w:ind w:firstLine="498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سعة  رحمة الله تعالى: ذكر أدلة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6"/>
              </w:numPr>
              <w:ind w:firstLine="498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ترغيب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 في دعاء الله تعالى وسؤاله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الوجه الثالث: في بيان خواص اسم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الصمد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لم يلد ولم يولد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البيان المفصل الواضح لهذه الآية الكريمة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السموات والأرض تنزه الله تعالى عن الولد ـ دليل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السموات والأرض والجبال تعرف خالقها وتوحده ـ دليل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الله تعالى أسمع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تسبيح الأشياء ـ بيان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معجزة نبع الماء من بين أصابع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الحجر والشجر شهد برسالة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ـ بيان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الحيوانات تنطق شاهدة برسالة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7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الجذع حن لفراق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ولم يكن له كفواً أحد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الله تعالى لا يماثله ولا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يشاكله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أحد سبحانه وتعالى ـ ذكر دليل ذلك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   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بيان سبب تسمية هذه السورة </w:t>
            </w:r>
            <w:proofErr w:type="spellStart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بـ</w:t>
            </w:r>
            <w:proofErr w:type="spellEnd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سورة  الإخلاص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8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جواب الإمام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الجنيد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لما سئل عن التوحيد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8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جواب الإمام مالك لما سئل عن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الرحمن على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       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العرش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استوى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8"/>
              </w:numPr>
              <w:jc w:val="left"/>
              <w:rPr>
                <w:rFonts w:asciiTheme="majorBidi" w:hAnsiTheme="majorBidi" w:cstheme="majorBidi"/>
                <w:sz w:val="32"/>
                <w:szCs w:val="32"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جواب الإمام الغزالي لما سأله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الزمخشري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عن قوله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تعالى: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الرحمن على العرش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استوى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ـ والجواب أبيات من الشعر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بيان معنى التسبيح والتحميد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9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كثيراً ما يقرن الله تعالى بين التسبيح والتحميد، وقد يفرد كل واحد منهما بالذكر ـ أدلة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9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أمر الله تعالى بتسبيحه وتحميده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بيان آثار وفوائد التسبيح والتحميد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الإكثار من التسبيح والتحميد  يحطّ الذنوب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الإكثار من التسبيح والتحميد يجلب الخير الكثير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التسبيح والتحميد من الباقيات الصالحات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>4ـ التسبيح والتحميد غراس في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التسبيح والتحميد يجتمعن حول العرش يشفعن لصاحبها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10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البيت الذي يبنيه الله تعالى للمؤمن في الجنة لا يخرب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10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البيت الذي يبنيه الله تعالى للمؤمن في الجنة على حسب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مقام صاحبه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1"/>
                <w:numId w:val="10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 ما أكرم الله تعالى السيدة خديجة رضي الله  عنها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   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بإقرائها السلام وبيان ما يستفاد من هذا الحديث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6ـ التسبيح والتحميد والتكبير يقوى بهم المؤمن حتى  في بدنه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ذكر جملة مما ورد في فضل التسبيح والتحميد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يملأ نورهما ما بين السماء والأرض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2ـ كل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تسبيحة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صدقة، وكل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تحميدة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صدقة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أهل الجنة وهم في الجنة لا يغفلون عن التسبيح والتحميد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الملائكة تحف أهل الذكر بأجنحتها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بيان أنواع النعيم في الجنة إجمالاً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بيان حق الله على عباده وحق العباد على الله تعالى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أمر الله تعالى عباده بالمسارعة إلى الجنة  لما فيها من أنواع النعيم ـ بيان ذلك مفصلاً مع الأدلة :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دعوة الله تعالى عباده إلى دار السلام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الله تعالى يأمر عباده بالمسارعة إلى مغفرته وجنته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وصف الله تعالى الجنة بالسعة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بين الله تعالى أن الجنة أعدت للمتقين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بيان مراتب التقوى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حديث: حفت الجنة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بالمكاره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، والنار بالشهوات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أمر الله تعالى عباده أن يقوا أنفسهم وأهليهم نار جهنم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ذكر حال بعض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عصاة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المسلمين في النار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أخبر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عن عظيم نعيم الجنة، وعظيم عذاب النار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يرغب أصحابه بسؤال الجنة والتعوذ من النار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الله تعالى يأمر عباده بالمسابقة إلى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6ـ الجنة فيها مرافقة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ذكر أدلة ذلك مفصلاً، وبيان أن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كثيراً من الصحابة رضوان الله عليهم سأل النبي 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مرافقته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في الجنة .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ind w:firstLine="554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جاءت البشارة من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لمن يحبه بأنه معه في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7ـ تحيات الله تعالى بالسلام على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8ـ الملائكة تسلم على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 xml:space="preserve">9ـ تجليات الله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الرضوانية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على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الترغيب في الخشية من الله تعالى وبيان آثار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10ـ تجليات الله تعالى بالرؤية على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11ـ الله تعالى يقرأ القرآن على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12ـ أعد الله تعالى لعباده الصالحين: ما لا عين رأت، ولا أذن سمعت ولا خطر على قلب بشر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1"/>
              </w:numPr>
              <w:ind w:firstLine="413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أدنى أهل الجنة  منزلة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الكلام حول سورة الفلق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بيان ما تضمنته السورة من </w:t>
            </w:r>
            <w:proofErr w:type="spellStart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الاستعاذات</w:t>
            </w:r>
            <w:proofErr w:type="spellEnd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ـ وهي أربع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بيان معنى كلمة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أعوذ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أسباب التعوذ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بيان الحكمة من بدء السورة </w:t>
            </w:r>
            <w:proofErr w:type="spellStart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بـ</w:t>
            </w:r>
            <w:proofErr w:type="spellEnd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قل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قل أعوذ برب الفلق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من المخلوقات من لا يكون منه إلا الخير ومنها ما يكون منه الخير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والشر ـ بيان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ومن شر غاسق إذا وقب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بيان المراد من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الغاسق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حث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على كف  الصبيان عند دخول الليل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ما يخرج الظلمة من القلب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القلوب أربعة ـ  بيان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ومن شر النفاثات في العقد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معنى النفث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حقيقة السحر وتأثيره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حكم السحر وحكم إتيان الساحر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2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ترغيب المؤمن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بالتحصن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من المؤذيات وبيان ما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يتحصن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به</w:t>
            </w:r>
            <w:proofErr w:type="spellEnd"/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129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ومن شر حاسد إذا حسد</w:t>
            </w: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3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بيان حكم الحسد ومعناه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3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التحذير من الحسد جاء على وجوه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النهي عن التحاسد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ضرر الحسد على إيمان الحاسد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3ـ ضرر الحسد على حسنات الحاسد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وقرباته</w:t>
            </w:r>
            <w:proofErr w:type="spellEnd"/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التحاسد يفتح أبواب الشر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 xml:space="preserve">5ـ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برىء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رسول الله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من ذي حسد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6ـ الحاسد لا ينال رتبة الولاية ولا مقام المقربين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7ـ علامة أهل الجنة سلامة نفوسهم من الغش والحسد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ذكر حديث سيدنا أنس رضي الله عنه :  يطلع عليكم الآن رجل من أهل الجنة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الحسد قسمان: مذموم، وغير مذموم ـ  بيان ذلك مفصلاً مع الأدلة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136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يدخل تحت قوله تعالى: </w:t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ومن شر حاسد إذا حسد</w:t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 xml:space="preserve"> التعوذ من شر </w:t>
            </w:r>
            <w:proofErr w:type="spellStart"/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العائن</w:t>
            </w:r>
            <w:proofErr w:type="spellEnd"/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أن العين حق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إرشاد ما يفعله من رأى شيئاً فأعجبه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ذكر الأدلة على أن العين حق ـ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بيان ما يفعله  من أصيب بالعين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فاتحة الكتاب شفاء من كل داء ـ ذكر أدلة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4"/>
              </w:numPr>
              <w:jc w:val="left"/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 w:val="0"/>
                <w:bCs/>
                <w:sz w:val="32"/>
                <w:szCs w:val="32"/>
                <w:rtl/>
                <w:lang w:bidi="ar-SY"/>
              </w:rPr>
              <w:t>بعض خصائص قرآنية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لتفريج الكرب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للبراءة من الشرك والثبات على التوحيد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لقضاء الحوائج وتيسير الأمور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لوفاء الديون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قراءة سورة الكهف يوم الجمعة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6ـ قراءة المعوذتين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149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الكلام حول سورة الناس</w:t>
            </w:r>
          </w:p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ملك الناس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إله الناس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من شر الوسواس الخناس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الوسواس و الخناس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في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الذي يوسوس في صدور الناس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ذكر صفة ثالثة للشيطان ـ بيان الصفات الثلاث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بيان أنواع الشرور التي يحاول الشيطان أن يوقع الإنسان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بها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مفصلاً مع الأدلة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التحذير الشديد من أن يكون الإنسان قمعاً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أثر الذنوب على القلوب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جملة من مكايد الشيطان للإنسان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158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 xml:space="preserve">الكلام حول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من الجنة والناس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t xml:space="preserve">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الذي يوسوس نوعان: إنس وجن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160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معنى الوسوسة وطرقها</w:t>
            </w:r>
          </w:p>
          <w:p w:rsidR="00BD63D1" w:rsidRPr="00BD63D1" w:rsidRDefault="00BD63D1" w:rsidP="008A4EC3">
            <w:pPr>
              <w:pStyle w:val="a4"/>
              <w:ind w:firstLine="0"/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في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من الجنة والناس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حث للإنسان ليستعيذ بالله تعالى  من شر نوعي الشياطين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pStyle w:val="a4"/>
              <w:numPr>
                <w:ilvl w:val="0"/>
                <w:numId w:val="15"/>
              </w:numPr>
              <w:jc w:val="left"/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ذكرى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بيان جملة من الأسباب التي </w:t>
            </w:r>
            <w:proofErr w:type="spellStart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يعيذ</w:t>
            </w:r>
            <w:proofErr w:type="spellEnd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الله تعالى </w:t>
            </w:r>
            <w:proofErr w:type="spellStart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بها</w:t>
            </w:r>
            <w:proofErr w:type="spellEnd"/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 xml:space="preserve"> عباده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1ـ الإكثار من قراءة المعوذات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2ـ قراءة آية الكرسي يحفظ الله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بها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الإنسان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قراءة سورة البقرة تحفظ من  الشياطين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قراءة الآيتين آخر سورة البقرة تحفظ من الشياطين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5ـ قراءة أول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حم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المؤمن وآية الكرسي فيها الحفظ والوقاية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6ـ قول لا إله إلا الله وحده لا شريك له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إلخ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عقب صلاة الصبح وصلاة المغرب حرز من الشيطان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169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بيان جملة من فوائد التسبيح والتحميد والتهليل والتكبير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10ـ بيان فوائد قراءة عشر آيات من سورة البقرة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فائدة:</w:t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في قراءة قوله تعالى: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9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لو أنزلنا هذا القرآن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28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إلى آخر السورة ـ رقية من الصداع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11ـ الإكثار من ذكر الله تعالى حرز من الشيطان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ذكر حديث أمر الله تعالى سيدنا يحيى بن زكريا عليه السلام بخمس كلمات.. الخ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الترغيب والإكثار من ذكر الله تعالى وبيان آثار ذلك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177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وصايا وإرشادات نبوية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1ـ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احفظ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الله يحفظك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181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2ـ اغتنم خمساً قبل خمس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3ـ المبادرة إلى الأعمال الصالحة قبل  حدوث الموانع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4ـ اتق المحارم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182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5ـ وصية جامعة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183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6ـ في حق  المسلم على المسلم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184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7ـ في التفريج عن المكروب والتيسير على المعسر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185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8ـ في حسن الخلق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186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9ـ في الحياء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187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10ـ في بيان </w:t>
            </w:r>
            <w:proofErr w:type="spellStart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الكفارات</w:t>
            </w:r>
            <w:proofErr w:type="spellEnd"/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، والدرجات، والمنجيات، والمهلكات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11ـ التوصية بالرفق وترك العنف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188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Y"/>
              </w:rPr>
              <w:t>ذكرى نافعة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189</w:t>
            </w:r>
          </w:p>
        </w:tc>
      </w:tr>
      <w:tr w:rsidR="00BD63D1" w:rsidRPr="00BD63D1" w:rsidTr="00C32C32">
        <w:tc>
          <w:tcPr>
            <w:tcW w:w="7421" w:type="dxa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lastRenderedPageBreak/>
              <w:t xml:space="preserve">12ـ في الإكثار من الصلاة على النبي </w:t>
            </w:r>
            <w:r w:rsidRPr="00BD63D1">
              <w:rPr>
                <w:rFonts w:asciiTheme="majorBidi" w:hAnsiTheme="majorBidi" w:cstheme="majorBidi"/>
                <w:sz w:val="32"/>
                <w:szCs w:val="32"/>
                <w:lang w:bidi="ar-SY"/>
              </w:rPr>
              <w:sym w:font="AGA Arabesque" w:char="F072"/>
            </w: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 xml:space="preserve"> سائر الأيام وفي يوم الجمعة خاصة ـ ذكر أدلة ذلك مفصلاً</w:t>
            </w:r>
          </w:p>
        </w:tc>
        <w:tc>
          <w:tcPr>
            <w:tcW w:w="1101" w:type="dxa"/>
            <w:vAlign w:val="center"/>
          </w:tcPr>
          <w:p w:rsidR="00BD63D1" w:rsidRPr="00BD63D1" w:rsidRDefault="00BD63D1" w:rsidP="008A4EC3">
            <w:pPr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</w:pPr>
            <w:r w:rsidRPr="00BD63D1">
              <w:rPr>
                <w:rFonts w:asciiTheme="majorBidi" w:hAnsiTheme="majorBidi" w:cstheme="majorBidi"/>
                <w:sz w:val="32"/>
                <w:szCs w:val="32"/>
                <w:rtl/>
                <w:lang w:bidi="ar-SY"/>
              </w:rPr>
              <w:t>189</w:t>
            </w:r>
          </w:p>
        </w:tc>
      </w:tr>
    </w:tbl>
    <w:p w:rsidR="0034673F" w:rsidRPr="00A42AC5" w:rsidRDefault="0034673F" w:rsidP="00200D11">
      <w:pPr>
        <w:jc w:val="center"/>
        <w:rPr>
          <w:rFonts w:cs="DTP Naskh 1"/>
          <w:b/>
          <w:bCs/>
          <w:sz w:val="36"/>
          <w:szCs w:val="40"/>
          <w:rtl/>
          <w:lang w:bidi="ar-SY"/>
        </w:rPr>
      </w:pPr>
      <w:r w:rsidRPr="00A42AC5">
        <w:rPr>
          <w:rFonts w:cs="DTP Naskh 1" w:hint="cs"/>
          <w:bCs/>
          <w:sz w:val="36"/>
          <w:szCs w:val="40"/>
          <w:rtl/>
          <w:lang w:bidi="ar-SY"/>
        </w:rPr>
        <w:t>وصلى الله وسلم على سيدنا محمد كلما ذكره الذاكرون</w:t>
      </w:r>
    </w:p>
    <w:p w:rsidR="0034673F" w:rsidRPr="00A42AC5" w:rsidRDefault="0034673F" w:rsidP="00200D11">
      <w:pPr>
        <w:jc w:val="center"/>
        <w:rPr>
          <w:rFonts w:cs="DTP Naskh 1"/>
          <w:b/>
          <w:bCs/>
          <w:sz w:val="36"/>
          <w:szCs w:val="40"/>
          <w:rtl/>
          <w:lang w:bidi="ar-SY"/>
        </w:rPr>
      </w:pPr>
      <w:r w:rsidRPr="00A42AC5">
        <w:rPr>
          <w:rFonts w:cs="DTP Naskh 1" w:hint="cs"/>
          <w:bCs/>
          <w:sz w:val="36"/>
          <w:szCs w:val="40"/>
          <w:rtl/>
          <w:lang w:bidi="ar-SY"/>
        </w:rPr>
        <w:t>وغفل عن ذكره الغافلون</w:t>
      </w:r>
    </w:p>
    <w:p w:rsidR="0034673F" w:rsidRPr="00A42AC5" w:rsidRDefault="0034673F" w:rsidP="00200D11">
      <w:pPr>
        <w:jc w:val="center"/>
        <w:rPr>
          <w:rFonts w:cs="DTP Naskh 1"/>
          <w:b/>
          <w:bCs/>
          <w:sz w:val="36"/>
          <w:szCs w:val="40"/>
          <w:rtl/>
          <w:lang w:bidi="ar-SY"/>
        </w:rPr>
      </w:pPr>
      <w:r w:rsidRPr="00A42AC5">
        <w:rPr>
          <w:rFonts w:cs="DTP Naskh 1" w:hint="cs"/>
          <w:bCs/>
          <w:sz w:val="36"/>
          <w:szCs w:val="40"/>
          <w:rtl/>
          <w:lang w:bidi="ar-SY"/>
        </w:rPr>
        <w:t>والحمد لله رب العالمين</w:t>
      </w:r>
    </w:p>
    <w:p w:rsidR="002F08DA" w:rsidRPr="00BD63D1" w:rsidRDefault="002F08DA" w:rsidP="008A4EC3">
      <w:pPr>
        <w:rPr>
          <w:rFonts w:asciiTheme="majorBidi" w:hAnsiTheme="majorBidi" w:cstheme="majorBidi"/>
          <w:sz w:val="32"/>
          <w:szCs w:val="32"/>
          <w:lang w:bidi="ar-SY"/>
        </w:rPr>
      </w:pPr>
    </w:p>
    <w:sectPr w:rsidR="002F08DA" w:rsidRPr="00BD63D1" w:rsidSect="00F541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TP Naskh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5C3"/>
    <w:multiLevelType w:val="hybridMultilevel"/>
    <w:tmpl w:val="755CEFB8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61AA"/>
    <w:multiLevelType w:val="hybridMultilevel"/>
    <w:tmpl w:val="9B92C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8611A"/>
    <w:multiLevelType w:val="hybridMultilevel"/>
    <w:tmpl w:val="FFBEE7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84369"/>
    <w:multiLevelType w:val="hybridMultilevel"/>
    <w:tmpl w:val="970413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F37D2"/>
    <w:multiLevelType w:val="hybridMultilevel"/>
    <w:tmpl w:val="7FFE974A"/>
    <w:lvl w:ilvl="0" w:tplc="0409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2D55636E"/>
    <w:multiLevelType w:val="hybridMultilevel"/>
    <w:tmpl w:val="9EDCD750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C3A25"/>
    <w:multiLevelType w:val="hybridMultilevel"/>
    <w:tmpl w:val="DCE259B8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63E6"/>
    <w:multiLevelType w:val="hybridMultilevel"/>
    <w:tmpl w:val="7F16E5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4750"/>
    <w:multiLevelType w:val="hybridMultilevel"/>
    <w:tmpl w:val="48B0F4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26295"/>
    <w:multiLevelType w:val="hybridMultilevel"/>
    <w:tmpl w:val="59626F5A"/>
    <w:lvl w:ilvl="0" w:tplc="E7CAF3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43449"/>
    <w:multiLevelType w:val="hybridMultilevel"/>
    <w:tmpl w:val="457406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E5170"/>
    <w:multiLevelType w:val="hybridMultilevel"/>
    <w:tmpl w:val="14CE8382"/>
    <w:lvl w:ilvl="0" w:tplc="04090009">
      <w:start w:val="1"/>
      <w:numFmt w:val="bullet"/>
      <w:lvlText w:val=""/>
      <w:lvlJc w:val="left"/>
      <w:pPr>
        <w:ind w:left="10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62DF62C6"/>
    <w:multiLevelType w:val="hybridMultilevel"/>
    <w:tmpl w:val="DE7CC6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A047E"/>
    <w:multiLevelType w:val="hybridMultilevel"/>
    <w:tmpl w:val="EAEC01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480D06"/>
    <w:multiLevelType w:val="hybridMultilevel"/>
    <w:tmpl w:val="188E4A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7"/>
  </w:num>
  <w:num w:numId="11">
    <w:abstractNumId w:val="14"/>
  </w:num>
  <w:num w:numId="12">
    <w:abstractNumId w:val="8"/>
  </w:num>
  <w:num w:numId="13">
    <w:abstractNumId w:val="10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DF46B5"/>
    <w:rsid w:val="00200D11"/>
    <w:rsid w:val="002039BF"/>
    <w:rsid w:val="002F08DA"/>
    <w:rsid w:val="0034673F"/>
    <w:rsid w:val="0041358C"/>
    <w:rsid w:val="00503EDB"/>
    <w:rsid w:val="005C4254"/>
    <w:rsid w:val="007C7025"/>
    <w:rsid w:val="008553DF"/>
    <w:rsid w:val="008A4EC3"/>
    <w:rsid w:val="00924D4E"/>
    <w:rsid w:val="00936C4B"/>
    <w:rsid w:val="00AA2CAF"/>
    <w:rsid w:val="00BD63D1"/>
    <w:rsid w:val="00C32C32"/>
    <w:rsid w:val="00D06331"/>
    <w:rsid w:val="00D12B72"/>
    <w:rsid w:val="00D613E6"/>
    <w:rsid w:val="00DF46B5"/>
    <w:rsid w:val="00F5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63D1"/>
    <w:pPr>
      <w:widowControl w:val="0"/>
      <w:spacing w:after="60" w:line="240" w:lineRule="auto"/>
      <w:ind w:left="720" w:firstLine="454"/>
      <w:contextualSpacing/>
      <w:jc w:val="mediumKashida"/>
    </w:pPr>
    <w:rPr>
      <w:rFonts w:ascii="Times New Roman" w:eastAsiaTheme="minorHAnsi" w:hAnsi="Times New Roman" w:cs="Simplified Arabic"/>
      <w:b/>
      <w:sz w:val="26"/>
      <w:szCs w:val="30"/>
    </w:rPr>
  </w:style>
  <w:style w:type="paragraph" w:styleId="a5">
    <w:name w:val="No Spacing"/>
    <w:uiPriority w:val="1"/>
    <w:qFormat/>
    <w:rsid w:val="00936C4B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1461</Words>
  <Characters>8334</Characters>
  <Application>Microsoft Office Word</Application>
  <DocSecurity>0</DocSecurity>
  <Lines>69</Lines>
  <Paragraphs>19</Paragraphs>
  <ScaleCrop>false</ScaleCrop>
  <Company>1</Company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8</cp:revision>
  <dcterms:created xsi:type="dcterms:W3CDTF">2010-11-15T01:57:00Z</dcterms:created>
  <dcterms:modified xsi:type="dcterms:W3CDTF">2010-11-15T02:03:00Z</dcterms:modified>
</cp:coreProperties>
</file>